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09BD" w:rsidRDefault="00B95577" w:rsidP="0078477A">
      <w:pPr>
        <w:tabs>
          <w:tab w:val="left" w:pos="900"/>
        </w:tabs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A Kar Tanácsának állásfoglalása a GVSZ</w:t>
      </w:r>
      <w:r w:rsidR="0078477A">
        <w:rPr>
          <w:b/>
          <w:bCs/>
          <w:color w:val="000000"/>
        </w:rPr>
        <w:t xml:space="preserve"> módosítására vonatkozó szenátusi előterjesztésről</w:t>
      </w:r>
    </w:p>
    <w:p w:rsidR="00B95577" w:rsidRDefault="00B95577" w:rsidP="00B95577">
      <w:pPr>
        <w:tabs>
          <w:tab w:val="left" w:pos="900"/>
        </w:tabs>
        <w:rPr>
          <w:b/>
          <w:bCs/>
          <w:color w:val="000000"/>
        </w:rPr>
      </w:pPr>
    </w:p>
    <w:p w:rsidR="001D09BD" w:rsidRPr="00B95577" w:rsidRDefault="001D09BD">
      <w:pPr>
        <w:pStyle w:val="jogszably"/>
        <w:rPr>
          <w:iCs w:val="0"/>
          <w:color w:val="000000"/>
          <w:sz w:val="24"/>
          <w:szCs w:val="24"/>
        </w:rPr>
      </w:pPr>
    </w:p>
    <w:p w:rsidR="001D09BD" w:rsidRPr="00B95577" w:rsidRDefault="00D81E9E">
      <w:pPr>
        <w:pStyle w:val="jogszably"/>
        <w:rPr>
          <w:b w:val="0"/>
          <w:bCs w:val="0"/>
          <w:iCs w:val="0"/>
          <w:color w:val="000000"/>
          <w:sz w:val="24"/>
          <w:szCs w:val="24"/>
        </w:rPr>
      </w:pPr>
      <w:r w:rsidRPr="00B95577">
        <w:rPr>
          <w:b w:val="0"/>
          <w:bCs w:val="0"/>
          <w:iCs w:val="0"/>
          <w:color w:val="000000"/>
          <w:sz w:val="24"/>
          <w:szCs w:val="24"/>
        </w:rPr>
        <w:t>A TTK az alábbi módosító indítványokkal támogatja a GVSZ Szenátus elé kerülését:</w:t>
      </w:r>
    </w:p>
    <w:p w:rsidR="001D09BD" w:rsidRPr="00B95577" w:rsidRDefault="001D09BD" w:rsidP="0078477A">
      <w:pPr>
        <w:pStyle w:val="jogszably"/>
        <w:ind w:firstLine="0"/>
        <w:rPr>
          <w:iCs w:val="0"/>
          <w:color w:val="000000"/>
          <w:sz w:val="24"/>
          <w:szCs w:val="24"/>
        </w:rPr>
      </w:pPr>
    </w:p>
    <w:p w:rsidR="001D09BD" w:rsidRPr="00B95577" w:rsidRDefault="00D81E9E">
      <w:pPr>
        <w:pStyle w:val="jogszably"/>
        <w:rPr>
          <w:b w:val="0"/>
          <w:bCs w:val="0"/>
          <w:iCs w:val="0"/>
          <w:color w:val="000000"/>
          <w:sz w:val="24"/>
          <w:szCs w:val="24"/>
        </w:rPr>
      </w:pPr>
      <w:r w:rsidRPr="00B95577">
        <w:rPr>
          <w:b w:val="0"/>
          <w:bCs w:val="0"/>
          <w:iCs w:val="0"/>
          <w:color w:val="000000"/>
          <w:sz w:val="24"/>
          <w:szCs w:val="24"/>
        </w:rPr>
        <w:t xml:space="preserve">1. A 10. § felvezetésekor az </w:t>
      </w:r>
      <w:proofErr w:type="spellStart"/>
      <w:r w:rsidRPr="00B95577">
        <w:rPr>
          <w:b w:val="0"/>
          <w:bCs w:val="0"/>
          <w:iCs w:val="0"/>
          <w:color w:val="000000"/>
          <w:sz w:val="24"/>
          <w:szCs w:val="24"/>
        </w:rPr>
        <w:t>Avr</w:t>
      </w:r>
      <w:proofErr w:type="spellEnd"/>
      <w:r w:rsidRPr="00B95577">
        <w:rPr>
          <w:b w:val="0"/>
          <w:bCs w:val="0"/>
          <w:iCs w:val="0"/>
          <w:color w:val="000000"/>
          <w:sz w:val="24"/>
          <w:szCs w:val="24"/>
        </w:rPr>
        <w:t xml:space="preserve"> 53. § (1</w:t>
      </w:r>
      <w:proofErr w:type="gramStart"/>
      <w:r w:rsidRPr="00B95577">
        <w:rPr>
          <w:b w:val="0"/>
          <w:bCs w:val="0"/>
          <w:iCs w:val="0"/>
          <w:color w:val="000000"/>
          <w:sz w:val="24"/>
          <w:szCs w:val="24"/>
        </w:rPr>
        <w:t>)  a</w:t>
      </w:r>
      <w:proofErr w:type="gramEnd"/>
      <w:r w:rsidRPr="00B95577">
        <w:rPr>
          <w:b w:val="0"/>
          <w:bCs w:val="0"/>
          <w:iCs w:val="0"/>
          <w:color w:val="000000"/>
          <w:sz w:val="24"/>
          <w:szCs w:val="24"/>
        </w:rPr>
        <w:t>) pontja is beidézendő:</w:t>
      </w:r>
    </w:p>
    <w:p w:rsidR="001D09BD" w:rsidRPr="00B95577" w:rsidRDefault="001D09BD">
      <w:pPr>
        <w:pStyle w:val="jogszably"/>
        <w:rPr>
          <w:iCs w:val="0"/>
          <w:color w:val="000000"/>
          <w:sz w:val="24"/>
          <w:szCs w:val="24"/>
        </w:rPr>
      </w:pPr>
    </w:p>
    <w:p w:rsidR="001D09BD" w:rsidRPr="00B95577" w:rsidRDefault="00D81E9E">
      <w:pPr>
        <w:pStyle w:val="jogszably"/>
        <w:rPr>
          <w:iCs w:val="0"/>
          <w:color w:val="000000"/>
          <w:sz w:val="24"/>
          <w:szCs w:val="24"/>
        </w:rPr>
      </w:pPr>
      <w:proofErr w:type="spellStart"/>
      <w:r w:rsidRPr="00B95577">
        <w:rPr>
          <w:iCs w:val="0"/>
          <w:color w:val="000000"/>
          <w:sz w:val="24"/>
          <w:szCs w:val="24"/>
        </w:rPr>
        <w:t>Ávr</w:t>
      </w:r>
      <w:proofErr w:type="spellEnd"/>
      <w:r w:rsidRPr="00B95577">
        <w:rPr>
          <w:iCs w:val="0"/>
          <w:color w:val="000000"/>
          <w:sz w:val="24"/>
          <w:szCs w:val="24"/>
        </w:rPr>
        <w:t>. 53. § (1) Törvény vagy e rendelet eltérő rendelkezése hiányában nem szükséges előzetes írásbeli kötelezettségvállalás az olyan kifizetés teljesítéséhez, amely</w:t>
      </w:r>
    </w:p>
    <w:p w:rsidR="001D09BD" w:rsidRPr="00B95577" w:rsidRDefault="00D81E9E">
      <w:pPr>
        <w:pStyle w:val="jogszably"/>
        <w:rPr>
          <w:sz w:val="24"/>
          <w:szCs w:val="24"/>
        </w:rPr>
      </w:pPr>
      <w:proofErr w:type="gramStart"/>
      <w:r w:rsidRPr="00B95577">
        <w:rPr>
          <w:iCs w:val="0"/>
          <w:color w:val="000000"/>
          <w:sz w:val="24"/>
          <w:szCs w:val="24"/>
        </w:rPr>
        <w:t>a</w:t>
      </w:r>
      <w:proofErr w:type="gramEnd"/>
      <w:r w:rsidRPr="00B95577">
        <w:rPr>
          <w:iCs w:val="0"/>
          <w:color w:val="000000"/>
          <w:sz w:val="24"/>
          <w:szCs w:val="24"/>
        </w:rPr>
        <w:t>)</w:t>
      </w:r>
      <w:r w:rsidRPr="00B95577">
        <w:rPr>
          <w:rStyle w:val="apple-converted-space"/>
          <w:iCs w:val="0"/>
          <w:color w:val="FF0000"/>
          <w:sz w:val="24"/>
          <w:szCs w:val="24"/>
        </w:rPr>
        <w:t> </w:t>
      </w:r>
      <w:r w:rsidRPr="00B95577">
        <w:rPr>
          <w:rStyle w:val="apple-converted-space"/>
          <w:rFonts w:ascii="Comic Sans MS" w:hAnsi="Comic Sans MS"/>
          <w:iCs w:val="0"/>
          <w:color w:val="FF0000"/>
          <w:sz w:val="24"/>
          <w:szCs w:val="24"/>
        </w:rPr>
        <w:t>értéke a százezer forintot nem éri el</w:t>
      </w:r>
      <w:r w:rsidRPr="00B95577">
        <w:rPr>
          <w:rStyle w:val="apple-converted-space"/>
          <w:iCs w:val="0"/>
          <w:color w:val="FF0000"/>
          <w:sz w:val="24"/>
          <w:szCs w:val="24"/>
        </w:rPr>
        <w:t xml:space="preserve"> </w:t>
      </w:r>
    </w:p>
    <w:p w:rsidR="001D09BD" w:rsidRPr="00B95577" w:rsidRDefault="00D81E9E">
      <w:pPr>
        <w:pStyle w:val="jogszably"/>
        <w:rPr>
          <w:sz w:val="24"/>
          <w:szCs w:val="24"/>
        </w:rPr>
      </w:pPr>
      <w:r w:rsidRPr="00B95577">
        <w:rPr>
          <w:iCs w:val="0"/>
          <w:color w:val="000000"/>
          <w:sz w:val="24"/>
          <w:szCs w:val="24"/>
        </w:rPr>
        <w:t>b)</w:t>
      </w:r>
      <w:r w:rsidRPr="00B95577">
        <w:rPr>
          <w:rStyle w:val="apple-converted-space"/>
          <w:iCs w:val="0"/>
          <w:color w:val="000000"/>
          <w:sz w:val="24"/>
          <w:szCs w:val="24"/>
        </w:rPr>
        <w:t> </w:t>
      </w:r>
      <w:r w:rsidRPr="00B95577">
        <w:rPr>
          <w:iCs w:val="0"/>
          <w:color w:val="000000"/>
          <w:sz w:val="24"/>
          <w:szCs w:val="24"/>
        </w:rPr>
        <w:t>a fizetési számlákról a számlavezető által leemelt díj, juttatás, a külföldi pénzértékben vállalt kötelezettség árfolyamvesztesége, vagy</w:t>
      </w:r>
    </w:p>
    <w:p w:rsidR="001D09BD" w:rsidRPr="00B95577" w:rsidRDefault="00D81E9E">
      <w:pPr>
        <w:pStyle w:val="jogszably"/>
        <w:rPr>
          <w:sz w:val="24"/>
          <w:szCs w:val="24"/>
        </w:rPr>
      </w:pPr>
      <w:r w:rsidRPr="00B95577">
        <w:rPr>
          <w:iCs w:val="0"/>
          <w:color w:val="000000"/>
          <w:sz w:val="24"/>
          <w:szCs w:val="24"/>
        </w:rPr>
        <w:t>c)</w:t>
      </w:r>
      <w:r w:rsidRPr="00B95577">
        <w:rPr>
          <w:rStyle w:val="apple-converted-space"/>
          <w:iCs w:val="0"/>
          <w:color w:val="000000"/>
          <w:sz w:val="24"/>
          <w:szCs w:val="24"/>
        </w:rPr>
        <w:t> </w:t>
      </w:r>
      <w:r w:rsidRPr="00B95577">
        <w:rPr>
          <w:iCs w:val="0"/>
          <w:color w:val="000000"/>
          <w:sz w:val="24"/>
          <w:szCs w:val="24"/>
        </w:rPr>
        <w:t>az Áht. 36 § (2) bekezdése szerinti egyéb fizetési kötelezettségnek minősül.</w:t>
      </w:r>
    </w:p>
    <w:p w:rsidR="001D09BD" w:rsidRPr="00B95577" w:rsidRDefault="001D09BD">
      <w:pPr>
        <w:pStyle w:val="jogszably"/>
        <w:rPr>
          <w:sz w:val="24"/>
          <w:szCs w:val="24"/>
        </w:rPr>
      </w:pPr>
    </w:p>
    <w:p w:rsidR="001D09BD" w:rsidRPr="00B95577" w:rsidRDefault="00D81E9E">
      <w:pPr>
        <w:pStyle w:val="jogszably"/>
        <w:rPr>
          <w:sz w:val="24"/>
          <w:szCs w:val="24"/>
        </w:rPr>
      </w:pPr>
      <w:r w:rsidRPr="00B95577">
        <w:rPr>
          <w:b w:val="0"/>
          <w:bCs w:val="0"/>
          <w:caps/>
          <w:sz w:val="24"/>
          <w:szCs w:val="24"/>
        </w:rPr>
        <w:t>Indoklás:</w:t>
      </w:r>
      <w:r w:rsidRPr="00B95577">
        <w:rPr>
          <w:b w:val="0"/>
          <w:bCs w:val="0"/>
          <w:sz w:val="24"/>
          <w:szCs w:val="24"/>
        </w:rPr>
        <w:t xml:space="preserve"> A Gazdálkodási és Beszerzési szabályzat 15. § (1) pontjának szinkronba hozása.</w:t>
      </w:r>
    </w:p>
    <w:p w:rsidR="001D09BD" w:rsidRPr="00B95577" w:rsidRDefault="001D09BD">
      <w:pPr>
        <w:pStyle w:val="paragrafuscm"/>
        <w:ind w:left="0"/>
        <w:rPr>
          <w:szCs w:val="24"/>
        </w:rPr>
      </w:pPr>
    </w:p>
    <w:p w:rsidR="001D09BD" w:rsidRPr="00B95577" w:rsidRDefault="00D81E9E">
      <w:pPr>
        <w:pStyle w:val="paragrafuscm"/>
        <w:ind w:left="0"/>
        <w:jc w:val="left"/>
        <w:rPr>
          <w:szCs w:val="24"/>
        </w:rPr>
      </w:pPr>
      <w:r w:rsidRPr="00B95577">
        <w:rPr>
          <w:b w:val="0"/>
          <w:szCs w:val="24"/>
        </w:rPr>
        <w:t>2. A 20. §-</w:t>
      </w:r>
      <w:proofErr w:type="gramStart"/>
      <w:r w:rsidRPr="00B95577">
        <w:rPr>
          <w:b w:val="0"/>
          <w:smallCaps w:val="0"/>
          <w:szCs w:val="24"/>
        </w:rPr>
        <w:t>hoz  javasolt</w:t>
      </w:r>
      <w:proofErr w:type="gramEnd"/>
      <w:r w:rsidRPr="00B95577">
        <w:rPr>
          <w:b w:val="0"/>
          <w:smallCaps w:val="0"/>
          <w:szCs w:val="24"/>
        </w:rPr>
        <w:t xml:space="preserve"> módosított szöveg:</w:t>
      </w:r>
    </w:p>
    <w:p w:rsidR="001D09BD" w:rsidRPr="00B95577" w:rsidRDefault="001D09BD">
      <w:pPr>
        <w:pStyle w:val="paragrafuscm"/>
        <w:ind w:left="0"/>
        <w:jc w:val="left"/>
        <w:rPr>
          <w:b w:val="0"/>
          <w:smallCaps w:val="0"/>
          <w:szCs w:val="24"/>
        </w:rPr>
      </w:pPr>
    </w:p>
    <w:p w:rsidR="001D09BD" w:rsidRPr="00B95577" w:rsidRDefault="00D81E9E">
      <w:pPr>
        <w:pStyle w:val="paragrafuscm"/>
        <w:ind w:left="0"/>
        <w:jc w:val="left"/>
        <w:rPr>
          <w:szCs w:val="24"/>
        </w:rPr>
      </w:pPr>
      <w:r w:rsidRPr="00B95577">
        <w:rPr>
          <w:b w:val="0"/>
          <w:smallCaps w:val="0"/>
          <w:szCs w:val="24"/>
        </w:rPr>
        <w:t>(1)</w:t>
      </w:r>
      <w:r w:rsidRPr="00B95577">
        <w:rPr>
          <w:b w:val="0"/>
          <w:smallCaps w:val="0"/>
          <w:szCs w:val="24"/>
        </w:rPr>
        <w:tab/>
        <w:t xml:space="preserve"> A Kancellária </w:t>
      </w:r>
      <w:r w:rsidRPr="00B95577">
        <w:rPr>
          <w:rFonts w:ascii="Comic Sans MS" w:hAnsi="Comic Sans MS"/>
          <w:b w:val="0"/>
          <w:smallCaps w:val="0"/>
          <w:color w:val="FF0000"/>
          <w:szCs w:val="24"/>
        </w:rPr>
        <w:t>a Szenátus által</w:t>
      </w:r>
      <w:r w:rsidRPr="00B95577">
        <w:rPr>
          <w:b w:val="0"/>
          <w:smallCaps w:val="0"/>
          <w:color w:val="FF0000"/>
          <w:szCs w:val="24"/>
        </w:rPr>
        <w:t xml:space="preserve"> </w:t>
      </w:r>
      <w:r w:rsidRPr="00B95577">
        <w:rPr>
          <w:b w:val="0"/>
          <w:smallCaps w:val="0"/>
          <w:szCs w:val="24"/>
        </w:rPr>
        <w:t>az éves költségvetésben elfogadott keretszámok felosztását a gazdálkodás főbb jellemzőit negyedéves, indokolt esetekben havi monitoring keretében folyamatosan figyelemmel kíséri (VIR).</w:t>
      </w:r>
    </w:p>
    <w:p w:rsidR="001D09BD" w:rsidRPr="00B95577" w:rsidRDefault="001D09BD">
      <w:pPr>
        <w:pStyle w:val="paragrafuscm"/>
        <w:ind w:left="0"/>
        <w:jc w:val="left"/>
        <w:rPr>
          <w:b w:val="0"/>
          <w:smallCaps w:val="0"/>
          <w:szCs w:val="24"/>
        </w:rPr>
      </w:pPr>
    </w:p>
    <w:p w:rsidR="001D09BD" w:rsidRPr="00B95577" w:rsidRDefault="00D81E9E">
      <w:pPr>
        <w:pStyle w:val="paragrafuscm"/>
        <w:ind w:left="0"/>
        <w:jc w:val="left"/>
        <w:rPr>
          <w:b w:val="0"/>
          <w:smallCaps w:val="0"/>
          <w:szCs w:val="24"/>
        </w:rPr>
      </w:pPr>
      <w:r w:rsidRPr="00B95577">
        <w:rPr>
          <w:b w:val="0"/>
          <w:smallCaps w:val="0"/>
          <w:szCs w:val="24"/>
        </w:rPr>
        <w:t>INDOKLÁS: az SAP keretszámok nem mindig tükrözik a Szenátus által elfogadott költségvetést.</w:t>
      </w:r>
    </w:p>
    <w:p w:rsidR="001D09BD" w:rsidRPr="00B95577" w:rsidRDefault="001D09BD">
      <w:pPr>
        <w:pStyle w:val="paragrafuscm"/>
        <w:ind w:left="0"/>
        <w:jc w:val="left"/>
        <w:rPr>
          <w:b w:val="0"/>
          <w:szCs w:val="24"/>
        </w:rPr>
      </w:pPr>
    </w:p>
    <w:p w:rsidR="001D09BD" w:rsidRPr="00B95577" w:rsidRDefault="00D81E9E">
      <w:pPr>
        <w:pStyle w:val="paragrafuscm"/>
        <w:ind w:left="0"/>
        <w:jc w:val="left"/>
        <w:rPr>
          <w:szCs w:val="24"/>
        </w:rPr>
      </w:pPr>
      <w:r w:rsidRPr="00B95577">
        <w:rPr>
          <w:b w:val="0"/>
          <w:szCs w:val="24"/>
        </w:rPr>
        <w:t xml:space="preserve">3. A 36. </w:t>
      </w:r>
      <w:r w:rsidRPr="00B95577">
        <w:rPr>
          <w:b w:val="0"/>
          <w:color w:val="000000"/>
          <w:szCs w:val="24"/>
        </w:rPr>
        <w:t>§ (1) BEKEZDÉSE:</w:t>
      </w:r>
    </w:p>
    <w:p w:rsidR="001D09BD" w:rsidRPr="00B95577" w:rsidRDefault="00D81E9E">
      <w:pPr>
        <w:pStyle w:val="Cmsor2"/>
        <w:numPr>
          <w:ilvl w:val="1"/>
          <w:numId w:val="1"/>
        </w:numPr>
        <w:rPr>
          <w:rFonts w:ascii="Comic Sans MS" w:hAnsi="Comic Sans MS"/>
        </w:rPr>
      </w:pPr>
      <w:r w:rsidRPr="00B95577">
        <w:t>Ha a teljesítendő kötelezettség több pénzügyi központ, körzet, munkaszám, vagy több forrás között oszlik meg, azt az utalványozó lapon külön-külön kell feltüntetni</w:t>
      </w:r>
      <w:r w:rsidRPr="00B95577">
        <w:rPr>
          <w:rFonts w:ascii="Comic Sans MS" w:hAnsi="Comic Sans MS"/>
        </w:rPr>
        <w:t>.</w:t>
      </w:r>
      <w:r w:rsidRPr="00B95577">
        <w:rPr>
          <w:rFonts w:ascii="Comic Sans MS" w:hAnsi="Comic Sans MS"/>
          <w:strike/>
          <w:color w:val="FF0000"/>
        </w:rPr>
        <w:t xml:space="preserve"> (Tárgyi eszköz beszerzése csak egy pénzügyi központ egy forrására engedélyezett.)</w:t>
      </w:r>
    </w:p>
    <w:p w:rsidR="001D09BD" w:rsidRPr="00B95577" w:rsidRDefault="001D09BD">
      <w:pPr>
        <w:pStyle w:val="Cmsor2"/>
      </w:pPr>
    </w:p>
    <w:p w:rsidR="001D09BD" w:rsidRPr="00B95577" w:rsidRDefault="00D81E9E">
      <w:r w:rsidRPr="00B95577">
        <w:t>INDOKLÁS:</w:t>
      </w:r>
      <w:r w:rsidRPr="00B95577">
        <w:rPr>
          <w:rFonts w:ascii="Times New Roman" w:hAnsi="Times New Roman" w:cs="Times New Roman"/>
        </w:rPr>
        <w:t xml:space="preserve"> Gyakori és életszerű, hogy egy nagyobb berendezést több forrásból kell megvásárolni.</w:t>
      </w:r>
    </w:p>
    <w:p w:rsidR="001D09BD" w:rsidRPr="00B95577" w:rsidRDefault="001D09BD">
      <w:pPr>
        <w:rPr>
          <w:rFonts w:ascii="Times New Roman" w:hAnsi="Times New Roman" w:cs="Times New Roman"/>
        </w:rPr>
      </w:pPr>
    </w:p>
    <w:p w:rsidR="001D09BD" w:rsidRPr="00B95577" w:rsidRDefault="001D09BD">
      <w:pPr>
        <w:rPr>
          <w:rFonts w:ascii="Times New Roman" w:hAnsi="Times New Roman" w:cs="Times New Roman"/>
        </w:rPr>
      </w:pPr>
    </w:p>
    <w:p w:rsidR="001D09BD" w:rsidRPr="00B95577" w:rsidRDefault="00D81E9E">
      <w:pPr>
        <w:rPr>
          <w:rFonts w:ascii="Times New Roman" w:hAnsi="Times New Roman" w:cs="Times New Roman"/>
        </w:rPr>
      </w:pPr>
      <w:r w:rsidRPr="00B95577">
        <w:rPr>
          <w:rFonts w:ascii="Times New Roman" w:hAnsi="Times New Roman" w:cs="Times New Roman"/>
        </w:rPr>
        <w:t>4. Kérés és javaslat: A tárgyi eszközökhöz hasonlóan az alapbérek is legyenek megoszthatók különböző források között (pl. kari költségvetés + pályázat), elkerülendő az átláthatatlan keretátcsoportosításokat.</w:t>
      </w:r>
    </w:p>
    <w:p w:rsidR="001A2FAC" w:rsidRPr="00B95577" w:rsidRDefault="001A2FAC">
      <w:pPr>
        <w:rPr>
          <w:rFonts w:ascii="Times New Roman" w:hAnsi="Times New Roman" w:cs="Times New Roman"/>
        </w:rPr>
      </w:pPr>
    </w:p>
    <w:p w:rsidR="001A2FAC" w:rsidRPr="00B95577" w:rsidRDefault="001A2FAC">
      <w:pPr>
        <w:rPr>
          <w:rFonts w:ascii="Times New Roman" w:hAnsi="Times New Roman" w:cs="Times New Roman"/>
        </w:rPr>
      </w:pPr>
    </w:p>
    <w:p w:rsidR="001A2FAC" w:rsidRPr="00B95577" w:rsidRDefault="000741B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Budapest, 2016. június 21</w:t>
      </w:r>
      <w:r w:rsidR="001A2FAC" w:rsidRPr="00B95577">
        <w:rPr>
          <w:rFonts w:ascii="Times New Roman" w:hAnsi="Times New Roman" w:cs="Times New Roman"/>
        </w:rPr>
        <w:t>.</w:t>
      </w:r>
    </w:p>
    <w:p w:rsidR="001A2FAC" w:rsidRPr="00B95577" w:rsidRDefault="001A2FAC">
      <w:pPr>
        <w:rPr>
          <w:rFonts w:ascii="Times New Roman" w:hAnsi="Times New Roman" w:cs="Times New Roman"/>
        </w:rPr>
      </w:pPr>
    </w:p>
    <w:p w:rsidR="001A2FAC" w:rsidRPr="00B95577" w:rsidRDefault="001A2FAC">
      <w:pPr>
        <w:rPr>
          <w:rFonts w:ascii="Times New Roman" w:hAnsi="Times New Roman" w:cs="Times New Roman"/>
        </w:rPr>
      </w:pPr>
      <w:r w:rsidRPr="00B95577">
        <w:rPr>
          <w:rFonts w:ascii="Times New Roman" w:hAnsi="Times New Roman" w:cs="Times New Roman"/>
        </w:rPr>
        <w:tab/>
      </w:r>
      <w:r w:rsidRPr="00B95577">
        <w:rPr>
          <w:rFonts w:ascii="Times New Roman" w:hAnsi="Times New Roman" w:cs="Times New Roman"/>
        </w:rPr>
        <w:tab/>
      </w:r>
      <w:r w:rsidRPr="00B95577">
        <w:rPr>
          <w:rFonts w:ascii="Times New Roman" w:hAnsi="Times New Roman" w:cs="Times New Roman"/>
        </w:rPr>
        <w:tab/>
      </w:r>
      <w:r w:rsidRPr="00B95577">
        <w:rPr>
          <w:rFonts w:ascii="Times New Roman" w:hAnsi="Times New Roman" w:cs="Times New Roman"/>
        </w:rPr>
        <w:tab/>
      </w:r>
      <w:r w:rsidRPr="00B95577">
        <w:rPr>
          <w:rFonts w:ascii="Times New Roman" w:hAnsi="Times New Roman" w:cs="Times New Roman"/>
        </w:rPr>
        <w:tab/>
      </w:r>
      <w:r w:rsidRPr="00B95577">
        <w:rPr>
          <w:rFonts w:ascii="Times New Roman" w:hAnsi="Times New Roman" w:cs="Times New Roman"/>
        </w:rPr>
        <w:tab/>
      </w:r>
      <w:r w:rsidRPr="00B95577">
        <w:rPr>
          <w:rFonts w:ascii="Times New Roman" w:hAnsi="Times New Roman" w:cs="Times New Roman"/>
        </w:rPr>
        <w:tab/>
        <w:t xml:space="preserve">Surján Péter </w:t>
      </w:r>
      <w:r w:rsidR="00832043">
        <w:rPr>
          <w:rFonts w:ascii="Times New Roman" w:hAnsi="Times New Roman" w:cs="Times New Roman"/>
        </w:rPr>
        <w:t>sk.</w:t>
      </w:r>
      <w:bookmarkStart w:id="0" w:name="_GoBack"/>
      <w:bookmarkEnd w:id="0"/>
    </w:p>
    <w:p w:rsidR="001D09BD" w:rsidRPr="00B95577" w:rsidRDefault="001A2FAC" w:rsidP="00B95577">
      <w:pPr>
        <w:rPr>
          <w:rFonts w:ascii="Times New Roman" w:hAnsi="Times New Roman" w:cs="Times New Roman"/>
        </w:rPr>
      </w:pPr>
      <w:r w:rsidRPr="00B95577">
        <w:rPr>
          <w:rFonts w:ascii="Times New Roman" w:hAnsi="Times New Roman" w:cs="Times New Roman"/>
        </w:rPr>
        <w:tab/>
      </w:r>
      <w:r w:rsidRPr="00B95577">
        <w:rPr>
          <w:rFonts w:ascii="Times New Roman" w:hAnsi="Times New Roman" w:cs="Times New Roman"/>
        </w:rPr>
        <w:tab/>
      </w:r>
      <w:r w:rsidRPr="00B95577">
        <w:rPr>
          <w:rFonts w:ascii="Times New Roman" w:hAnsi="Times New Roman" w:cs="Times New Roman"/>
        </w:rPr>
        <w:tab/>
      </w:r>
      <w:r w:rsidRPr="00B95577">
        <w:rPr>
          <w:rFonts w:ascii="Times New Roman" w:hAnsi="Times New Roman" w:cs="Times New Roman"/>
        </w:rPr>
        <w:tab/>
      </w:r>
      <w:r w:rsidRPr="00B95577">
        <w:rPr>
          <w:rFonts w:ascii="Times New Roman" w:hAnsi="Times New Roman" w:cs="Times New Roman"/>
        </w:rPr>
        <w:tab/>
      </w:r>
      <w:r w:rsidRPr="00B95577">
        <w:rPr>
          <w:rFonts w:ascii="Times New Roman" w:hAnsi="Times New Roman" w:cs="Times New Roman"/>
        </w:rPr>
        <w:tab/>
      </w:r>
      <w:r w:rsidRPr="00B95577">
        <w:rPr>
          <w:rFonts w:ascii="Times New Roman" w:hAnsi="Times New Roman" w:cs="Times New Roman"/>
        </w:rPr>
        <w:tab/>
        <w:t xml:space="preserve">   </w:t>
      </w:r>
      <w:proofErr w:type="gramStart"/>
      <w:r w:rsidR="00B95577">
        <w:rPr>
          <w:rFonts w:ascii="Times New Roman" w:hAnsi="Times New Roman" w:cs="Times New Roman"/>
        </w:rPr>
        <w:t>dékán</w:t>
      </w:r>
      <w:proofErr w:type="gramEnd"/>
    </w:p>
    <w:sectPr w:rsidR="001D09BD" w:rsidRPr="00B95577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formProt w:val="0"/>
      <w:docGrid w:linePitch="36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0E2D" w:rsidRDefault="004E0E2D">
      <w:r>
        <w:separator/>
      </w:r>
    </w:p>
  </w:endnote>
  <w:endnote w:type="continuationSeparator" w:id="0">
    <w:p w:rsidR="004E0E2D" w:rsidRDefault="004E0E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Liberation Sans">
    <w:altName w:val="Arial"/>
    <w:charset w:val="01"/>
    <w:family w:val="roman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Comic Sans MS">
    <w:panose1 w:val="030F0702030302020204"/>
    <w:charset w:val="EE"/>
    <w:family w:val="script"/>
    <w:pitch w:val="variable"/>
    <w:sig w:usb0="00000287" w:usb1="40000013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09BD" w:rsidRDefault="00D81E9E">
    <w:pPr>
      <w:pStyle w:val="llb"/>
      <w:ind w:right="360"/>
    </w:pPr>
    <w:bookmarkStart w:id="1" w:name="__UnoMark__4_602421048"/>
    <w:bookmarkEnd w:id="1"/>
    <w:r>
      <w:rPr>
        <w:noProof/>
      </w:rPr>
      <mc:AlternateContent>
        <mc:Choice Requires="wps">
          <w:drawing>
            <wp:anchor distT="0" distB="0" distL="0" distR="0" simplePos="0" relativeHeight="2" behindDoc="1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98425" cy="177165"/>
              <wp:effectExtent l="0" t="0" r="0" b="0"/>
              <wp:wrapSquare wrapText="largest"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97920" cy="176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1D09BD" w:rsidRDefault="001D09BD">
                          <w:pPr>
                            <w:pStyle w:val="llb"/>
                          </w:pPr>
                        </w:p>
                      </w:txbxContent>
                    </wps:txbx>
                    <wps:bodyPr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margin-left:-43.45pt;margin-top:.05pt;width:7.75pt;height:13.95pt;z-index:-503316478;visibility:visible;mso-wrap-style:square;mso-wrap-distance-left:0;mso-wrap-distance-top:0;mso-wrap-distance-right:0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" filled="f" stroked="f">
              <v:textbox style="mso-fit-shape-to-text:t" inset="0,0,0,0">
                <w:txbxContent>
                  <w:p w:rsidR="001D09BD" w:rsidRDefault="001D09BD">
                    <w:pPr>
                      <w:pStyle w:val="llb"/>
                    </w:pPr>
                  </w:p>
                </w:txbxContent>
              </v:textbox>
              <w10:wrap type="square" side="largest" anchorx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0E2D" w:rsidRDefault="004E0E2D">
      <w:r>
        <w:separator/>
      </w:r>
    </w:p>
  </w:footnote>
  <w:footnote w:type="continuationSeparator" w:id="0">
    <w:p w:rsidR="004E0E2D" w:rsidRDefault="004E0E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41B5" w:rsidRPr="000741B5" w:rsidRDefault="000741B5" w:rsidP="000741B5">
    <w:pPr>
      <w:pStyle w:val="lfej"/>
      <w:rPr>
        <w:sz w:val="22"/>
        <w:szCs w:val="22"/>
      </w:rPr>
    </w:pPr>
    <w:r w:rsidRPr="000741B5">
      <w:rPr>
        <w:sz w:val="22"/>
        <w:szCs w:val="22"/>
      </w:rPr>
      <w:t>ELTE TTK Kari Tanács 2016. június 15.</w:t>
    </w:r>
    <w:r w:rsidRPr="000741B5">
      <w:rPr>
        <w:sz w:val="22"/>
        <w:szCs w:val="22"/>
      </w:rPr>
      <w:tab/>
    </w:r>
    <w:r w:rsidRPr="000741B5">
      <w:rPr>
        <w:sz w:val="22"/>
        <w:szCs w:val="22"/>
      </w:rPr>
      <w:tab/>
    </w:r>
    <w:r>
      <w:rPr>
        <w:sz w:val="22"/>
        <w:szCs w:val="22"/>
      </w:rPr>
      <w:t>6</w:t>
    </w:r>
    <w:r w:rsidRPr="000741B5">
      <w:rPr>
        <w:sz w:val="22"/>
        <w:szCs w:val="22"/>
      </w:rPr>
      <w:t>. sz. melléklet</w:t>
    </w:r>
  </w:p>
  <w:p w:rsidR="000741B5" w:rsidRDefault="000741B5">
    <w:pPr>
      <w:pStyle w:val="lfej"/>
    </w:pPr>
  </w:p>
  <w:p w:rsidR="000741B5" w:rsidRDefault="000741B5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817CA1"/>
    <w:multiLevelType w:val="multilevel"/>
    <w:tmpl w:val="FC6451A4"/>
    <w:lvl w:ilvl="0">
      <w:start w:val="1"/>
      <w:numFmt w:val="decimal"/>
      <w:lvlText w:val="%1. §"/>
      <w:lvlJc w:val="left"/>
      <w:pPr>
        <w:ind w:left="720" w:hanging="360"/>
      </w:pPr>
      <w:rPr>
        <w:rFonts w:ascii="Times New Roman" w:hAnsi="Times New Roman" w:cs="Tms Rmn"/>
        <w:b/>
        <w:sz w:val="20"/>
      </w:rPr>
    </w:lvl>
    <w:lvl w:ilvl="1">
      <w:start w:val="1"/>
      <w:numFmt w:val="decimal"/>
      <w:lvlText w:val="(%2)"/>
      <w:lvlJc w:val="left"/>
      <w:pPr>
        <w:ind w:left="454" w:hanging="454"/>
      </w:pPr>
      <w:rPr>
        <w:rFonts w:ascii="Times New Roman" w:hAnsi="Times New Roman" w:cs="Tms Rmn"/>
        <w:b/>
        <w:sz w:val="20"/>
      </w:rPr>
    </w:lvl>
    <w:lvl w:ilvl="2">
      <w:start w:val="1"/>
      <w:numFmt w:val="lowerLetter"/>
      <w:lvlText w:val="%3)"/>
      <w:lvlJc w:val="left"/>
      <w:pPr>
        <w:ind w:left="908" w:hanging="454"/>
      </w:pPr>
      <w:rPr>
        <w:rFonts w:ascii="Times New Roman" w:hAnsi="Times New Roman" w:cs="Tms Rmn"/>
        <w:b/>
        <w:sz w:val="20"/>
      </w:rPr>
    </w:lvl>
    <w:lvl w:ilvl="3">
      <w:start w:val="1"/>
      <w:numFmt w:val="none"/>
      <w:suff w:val="nothing"/>
      <w:lvlText w:val="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(%5)"/>
      <w:lvlJc w:val="left"/>
      <w:pPr>
        <w:ind w:left="1616" w:hanging="708"/>
      </w:pPr>
      <w:rPr>
        <w:rFonts w:cs="Times New Roman"/>
      </w:rPr>
    </w:lvl>
    <w:lvl w:ilvl="5">
      <w:start w:val="1"/>
      <w:numFmt w:val="lowerLetter"/>
      <w:lvlText w:val="(%6)"/>
      <w:lvlJc w:val="left"/>
      <w:pPr>
        <w:ind w:left="2324" w:hanging="708"/>
      </w:pPr>
      <w:rPr>
        <w:rFonts w:cs="Times New Roman"/>
      </w:rPr>
    </w:lvl>
    <w:lvl w:ilvl="6">
      <w:start w:val="1"/>
      <w:numFmt w:val="lowerRoman"/>
      <w:lvlText w:val="(%7)"/>
      <w:lvlJc w:val="left"/>
      <w:pPr>
        <w:ind w:left="3032" w:hanging="708"/>
      </w:pPr>
      <w:rPr>
        <w:rFonts w:cs="Times New Roman"/>
      </w:rPr>
    </w:lvl>
    <w:lvl w:ilvl="7">
      <w:start w:val="1"/>
      <w:numFmt w:val="lowerLetter"/>
      <w:lvlText w:val="(%8)"/>
      <w:lvlJc w:val="left"/>
      <w:pPr>
        <w:ind w:left="3740" w:hanging="708"/>
      </w:pPr>
      <w:rPr>
        <w:rFonts w:cs="Times New Roman"/>
      </w:rPr>
    </w:lvl>
    <w:lvl w:ilvl="8">
      <w:start w:val="1"/>
      <w:numFmt w:val="lowerRoman"/>
      <w:lvlText w:val="(%9)"/>
      <w:lvlJc w:val="left"/>
      <w:pPr>
        <w:ind w:left="4448" w:hanging="708"/>
      </w:pPr>
      <w:rPr>
        <w:rFonts w:cs="Times New Roman"/>
      </w:rPr>
    </w:lvl>
  </w:abstractNum>
  <w:abstractNum w:abstractNumId="1" w15:restartNumberingAfterBreak="0">
    <w:nsid w:val="439B4DCC"/>
    <w:multiLevelType w:val="multilevel"/>
    <w:tmpl w:val="9CC4AD56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09BD"/>
    <w:rsid w:val="000741B5"/>
    <w:rsid w:val="001A2FAC"/>
    <w:rsid w:val="001D09BD"/>
    <w:rsid w:val="0042563D"/>
    <w:rsid w:val="004E0E2D"/>
    <w:rsid w:val="0078477A"/>
    <w:rsid w:val="00832043"/>
    <w:rsid w:val="00B95577"/>
    <w:rsid w:val="00D81E9E"/>
    <w:rsid w:val="00FF2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9B969A"/>
  <w15:docId w15:val="{9F132BAA-4B8E-4D3D-8B6C-924FE271FE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Cs w:val="22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uppressAutoHyphens/>
    </w:pPr>
    <w:rPr>
      <w:rFonts w:ascii="Garamond" w:hAnsi="Garamond" w:cs="Garamond"/>
      <w:color w:val="00000A"/>
      <w:sz w:val="24"/>
      <w:szCs w:val="24"/>
    </w:rPr>
  </w:style>
  <w:style w:type="paragraph" w:styleId="Cmsor1">
    <w:name w:val="heading 1"/>
    <w:basedOn w:val="Norml"/>
    <w:qFormat/>
    <w:pPr>
      <w:spacing w:before="120" w:after="60"/>
      <w:jc w:val="center"/>
      <w:outlineLvl w:val="0"/>
    </w:pPr>
    <w:rPr>
      <w:rFonts w:ascii="Times New Roman" w:hAnsi="Times New Roman" w:cs="Times New Roman"/>
      <w:b/>
      <w:bCs/>
    </w:rPr>
  </w:style>
  <w:style w:type="paragraph" w:styleId="Cmsor2">
    <w:name w:val="heading 2"/>
    <w:basedOn w:val="Norml"/>
    <w:qFormat/>
    <w:pPr>
      <w:spacing w:before="60" w:after="60"/>
      <w:jc w:val="both"/>
      <w:outlineLvl w:val="1"/>
    </w:pPr>
    <w:rPr>
      <w:rFonts w:ascii="Times New Roman" w:hAnsi="Times New Roman" w:cs="Times New Roman"/>
    </w:rPr>
  </w:style>
  <w:style w:type="paragraph" w:styleId="Cmsor3">
    <w:name w:val="heading 3"/>
    <w:basedOn w:val="Norml"/>
    <w:qFormat/>
    <w:pPr>
      <w:jc w:val="both"/>
      <w:outlineLvl w:val="2"/>
    </w:pPr>
    <w:rPr>
      <w:rFonts w:ascii="Times New Roman" w:hAnsi="Times New Roman" w:cs="Times New Roman"/>
    </w:rPr>
  </w:style>
  <w:style w:type="paragraph" w:styleId="Cmsor4">
    <w:name w:val="heading 4"/>
    <w:basedOn w:val="Norml"/>
    <w:qFormat/>
    <w:pPr>
      <w:keepNext/>
      <w:spacing w:before="240" w:after="60"/>
      <w:outlineLvl w:val="3"/>
    </w:pPr>
    <w:rPr>
      <w:rFonts w:ascii="Times New Roman" w:hAnsi="Times New Roman" w:cs="Times New Roman"/>
      <w:b/>
      <w:bCs/>
      <w:sz w:val="28"/>
      <w:szCs w:val="28"/>
    </w:rPr>
  </w:style>
  <w:style w:type="paragraph" w:styleId="Cmsor5">
    <w:name w:val="heading 5"/>
    <w:basedOn w:val="Norml"/>
    <w:qFormat/>
    <w:pPr>
      <w:spacing w:before="240" w:after="60"/>
      <w:outlineLvl w:val="4"/>
    </w:pPr>
    <w:rPr>
      <w:rFonts w:ascii="Arial" w:hAnsi="Arial" w:cs="Arial"/>
      <w:sz w:val="22"/>
      <w:szCs w:val="22"/>
    </w:rPr>
  </w:style>
  <w:style w:type="paragraph" w:styleId="Cmsor6">
    <w:name w:val="heading 6"/>
    <w:basedOn w:val="Norml"/>
    <w:qFormat/>
    <w:pPr>
      <w:spacing w:before="240" w:after="60"/>
      <w:outlineLvl w:val="5"/>
    </w:pPr>
    <w:rPr>
      <w:rFonts w:ascii="Times New Roman" w:hAnsi="Times New Roman" w:cs="Times New Roman"/>
      <w:i/>
      <w:iCs/>
      <w:sz w:val="22"/>
      <w:szCs w:val="22"/>
    </w:rPr>
  </w:style>
  <w:style w:type="paragraph" w:styleId="Cmsor7">
    <w:name w:val="heading 7"/>
    <w:basedOn w:val="Norml"/>
    <w:qFormat/>
    <w:pPr>
      <w:spacing w:before="240" w:after="60"/>
      <w:outlineLvl w:val="6"/>
    </w:pPr>
    <w:rPr>
      <w:rFonts w:ascii="Arial" w:hAnsi="Arial" w:cs="Arial"/>
      <w:sz w:val="20"/>
      <w:szCs w:val="20"/>
    </w:rPr>
  </w:style>
  <w:style w:type="paragraph" w:styleId="Cmsor8">
    <w:name w:val="heading 8"/>
    <w:basedOn w:val="Norml"/>
    <w:qFormat/>
    <w:pPr>
      <w:spacing w:before="240" w:after="60"/>
      <w:outlineLvl w:val="7"/>
    </w:pPr>
    <w:rPr>
      <w:rFonts w:ascii="Arial" w:hAnsi="Arial" w:cs="Arial"/>
      <w:i/>
      <w:iCs/>
      <w:sz w:val="20"/>
      <w:szCs w:val="20"/>
    </w:rPr>
  </w:style>
  <w:style w:type="paragraph" w:styleId="Cmsor9">
    <w:name w:val="heading 9"/>
    <w:basedOn w:val="Norml"/>
    <w:qFormat/>
    <w:pPr>
      <w:spacing w:before="240" w:after="60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qFormat/>
    <w:rPr>
      <w:b/>
      <w:bCs/>
      <w:sz w:val="24"/>
      <w:szCs w:val="24"/>
    </w:rPr>
  </w:style>
  <w:style w:type="character" w:customStyle="1" w:styleId="Cmsor2Char">
    <w:name w:val="Címsor 2 Char"/>
    <w:basedOn w:val="Bekezdsalapbettpusa"/>
    <w:qFormat/>
    <w:rPr>
      <w:sz w:val="24"/>
      <w:szCs w:val="24"/>
    </w:rPr>
  </w:style>
  <w:style w:type="character" w:customStyle="1" w:styleId="Cmsor3Char">
    <w:name w:val="Címsor 3 Char"/>
    <w:basedOn w:val="Bekezdsalapbettpusa"/>
    <w:qFormat/>
    <w:rPr>
      <w:sz w:val="24"/>
      <w:szCs w:val="24"/>
    </w:rPr>
  </w:style>
  <w:style w:type="character" w:customStyle="1" w:styleId="Cmsor4Char">
    <w:name w:val="Címsor 4 Char"/>
    <w:basedOn w:val="Bekezdsalapbettpusa"/>
    <w:qFormat/>
    <w:rPr>
      <w:rFonts w:ascii="Calibri" w:hAnsi="Calibri" w:cs="Times New Roman"/>
      <w:b/>
      <w:bCs/>
      <w:sz w:val="28"/>
      <w:szCs w:val="28"/>
    </w:rPr>
  </w:style>
  <w:style w:type="character" w:customStyle="1" w:styleId="Cmsor5Char">
    <w:name w:val="Címsor 5 Char"/>
    <w:basedOn w:val="Bekezdsalapbettpusa"/>
    <w:qFormat/>
    <w:rPr>
      <w:rFonts w:ascii="Arial" w:hAnsi="Arial" w:cs="Arial"/>
    </w:rPr>
  </w:style>
  <w:style w:type="character" w:customStyle="1" w:styleId="Cmsor6Char">
    <w:name w:val="Címsor 6 Char"/>
    <w:basedOn w:val="Bekezdsalapbettpusa"/>
    <w:qFormat/>
    <w:rPr>
      <w:i/>
      <w:iCs/>
    </w:rPr>
  </w:style>
  <w:style w:type="character" w:customStyle="1" w:styleId="Cmsor7Char">
    <w:name w:val="Címsor 7 Char"/>
    <w:basedOn w:val="Bekezdsalapbettpusa"/>
    <w:qFormat/>
    <w:rPr>
      <w:rFonts w:ascii="Arial" w:hAnsi="Arial" w:cs="Arial"/>
      <w:sz w:val="20"/>
      <w:szCs w:val="20"/>
    </w:rPr>
  </w:style>
  <w:style w:type="character" w:customStyle="1" w:styleId="Cmsor8Char">
    <w:name w:val="Címsor 8 Char"/>
    <w:basedOn w:val="Bekezdsalapbettpusa"/>
    <w:qFormat/>
    <w:rPr>
      <w:rFonts w:ascii="Arial" w:hAnsi="Arial" w:cs="Arial"/>
      <w:i/>
      <w:iCs/>
      <w:sz w:val="20"/>
      <w:szCs w:val="20"/>
    </w:rPr>
  </w:style>
  <w:style w:type="character" w:customStyle="1" w:styleId="Cmsor9Char">
    <w:name w:val="Címsor 9 Char"/>
    <w:basedOn w:val="Bekezdsalapbettpusa"/>
    <w:qFormat/>
    <w:rPr>
      <w:rFonts w:ascii="Arial" w:hAnsi="Arial" w:cs="Arial"/>
      <w:b/>
      <w:bCs/>
      <w:i/>
      <w:iCs/>
      <w:sz w:val="18"/>
      <w:szCs w:val="18"/>
    </w:rPr>
  </w:style>
  <w:style w:type="character" w:customStyle="1" w:styleId="lfejChar">
    <w:name w:val="Élőfej Char"/>
    <w:basedOn w:val="Bekezdsalapbettpusa"/>
    <w:uiPriority w:val="99"/>
    <w:qFormat/>
    <w:rPr>
      <w:rFonts w:ascii="Garamond" w:hAnsi="Garamond" w:cs="Garamond"/>
      <w:sz w:val="24"/>
      <w:szCs w:val="24"/>
    </w:rPr>
  </w:style>
  <w:style w:type="character" w:customStyle="1" w:styleId="llbChar">
    <w:name w:val="Élőláb Char"/>
    <w:basedOn w:val="Bekezdsalapbettpusa"/>
    <w:qFormat/>
    <w:rPr>
      <w:rFonts w:ascii="Garamond" w:hAnsi="Garamond" w:cs="Garamond"/>
      <w:sz w:val="24"/>
      <w:szCs w:val="24"/>
    </w:rPr>
  </w:style>
  <w:style w:type="character" w:customStyle="1" w:styleId="Szvegtrzsbehzssal2Char">
    <w:name w:val="Szövegtörzs behúzással 2 Char"/>
    <w:basedOn w:val="Bekezdsalapbettpusa"/>
    <w:qFormat/>
    <w:rPr>
      <w:rFonts w:ascii="Garamond" w:hAnsi="Garamond" w:cs="Garamond"/>
      <w:sz w:val="24"/>
      <w:szCs w:val="24"/>
    </w:rPr>
  </w:style>
  <w:style w:type="character" w:customStyle="1" w:styleId="CmChar">
    <w:name w:val="Cím Char"/>
    <w:basedOn w:val="Bekezdsalapbettpusa"/>
    <w:qFormat/>
    <w:rPr>
      <w:rFonts w:ascii="Cambria" w:hAnsi="Cambria" w:cs="Times New Roman"/>
      <w:b/>
      <w:bCs/>
      <w:sz w:val="32"/>
      <w:szCs w:val="32"/>
    </w:rPr>
  </w:style>
  <w:style w:type="character" w:styleId="Oldalszm">
    <w:name w:val="page number"/>
    <w:basedOn w:val="Bekezdsalapbettpusa"/>
    <w:qFormat/>
    <w:rPr>
      <w:rFonts w:cs="Times New Roman"/>
    </w:rPr>
  </w:style>
  <w:style w:type="character" w:customStyle="1" w:styleId="LbjegyzetszvegChar">
    <w:name w:val="Lábjegyzetszöveg Char"/>
    <w:basedOn w:val="Bekezdsalapbettpusa"/>
    <w:qFormat/>
    <w:rPr>
      <w:rFonts w:ascii="Garamond" w:hAnsi="Garamond" w:cs="Garamond"/>
    </w:rPr>
  </w:style>
  <w:style w:type="character" w:styleId="Lbjegyzet-hivatkozs">
    <w:name w:val="footnote reference"/>
    <w:basedOn w:val="Bekezdsalapbettpusa"/>
    <w:qFormat/>
    <w:rPr>
      <w:rFonts w:cs="Times New Roman"/>
      <w:vertAlign w:val="superscript"/>
    </w:rPr>
  </w:style>
  <w:style w:type="character" w:styleId="Jegyzethivatkozs">
    <w:name w:val="annotation reference"/>
    <w:basedOn w:val="Bekezdsalapbettpusa"/>
    <w:qFormat/>
    <w:rPr>
      <w:rFonts w:cs="Times New Roman"/>
      <w:sz w:val="16"/>
      <w:szCs w:val="16"/>
    </w:rPr>
  </w:style>
  <w:style w:type="character" w:customStyle="1" w:styleId="JegyzetszvegChar">
    <w:name w:val="Jegyzetszöveg Char"/>
    <w:basedOn w:val="Bekezdsalapbettpusa"/>
    <w:qFormat/>
    <w:rPr>
      <w:rFonts w:ascii="Garamond" w:hAnsi="Garamond" w:cs="Garamond"/>
      <w:sz w:val="20"/>
      <w:szCs w:val="20"/>
    </w:rPr>
  </w:style>
  <w:style w:type="character" w:customStyle="1" w:styleId="MegjegyzstrgyaChar">
    <w:name w:val="Megjegyzés tárgya Char"/>
    <w:basedOn w:val="JegyzetszvegChar"/>
    <w:qFormat/>
    <w:rPr>
      <w:rFonts w:ascii="Garamond" w:hAnsi="Garamond" w:cs="Garamond"/>
      <w:b/>
      <w:bCs/>
      <w:sz w:val="20"/>
      <w:szCs w:val="20"/>
    </w:rPr>
  </w:style>
  <w:style w:type="character" w:customStyle="1" w:styleId="BuborkszvegChar">
    <w:name w:val="Buborékszöveg Char"/>
    <w:basedOn w:val="Bekezdsalapbettpusa"/>
    <w:qFormat/>
    <w:rPr>
      <w:rFonts w:cs="Times New Roman"/>
      <w:sz w:val="2"/>
    </w:rPr>
  </w:style>
  <w:style w:type="character" w:customStyle="1" w:styleId="SzvegtrzsChar">
    <w:name w:val="Szövegtörzs Char"/>
    <w:basedOn w:val="Bekezdsalapbettpusa"/>
    <w:qFormat/>
    <w:rPr>
      <w:rFonts w:ascii="Garamond" w:hAnsi="Garamond" w:cs="Garamond"/>
      <w:sz w:val="24"/>
      <w:szCs w:val="24"/>
    </w:rPr>
  </w:style>
  <w:style w:type="character" w:customStyle="1" w:styleId="Szvegtrzsbehzssal3Char">
    <w:name w:val="Szövegtörzs behúzással 3 Char"/>
    <w:basedOn w:val="Bekezdsalapbettpusa"/>
    <w:qFormat/>
    <w:rPr>
      <w:rFonts w:ascii="Garamond" w:hAnsi="Garamond" w:cs="Garamond"/>
      <w:sz w:val="16"/>
      <w:szCs w:val="16"/>
    </w:rPr>
  </w:style>
  <w:style w:type="character" w:customStyle="1" w:styleId="InternetLink">
    <w:name w:val="Internet Link"/>
    <w:basedOn w:val="Bekezdsalapbettpusa"/>
    <w:rPr>
      <w:rFonts w:cs="Times New Roman"/>
      <w:color w:val="0563C1"/>
      <w:u w:val="single"/>
    </w:rPr>
  </w:style>
  <w:style w:type="character" w:customStyle="1" w:styleId="apple-converted-space">
    <w:name w:val="apple-converted-space"/>
    <w:qFormat/>
  </w:style>
  <w:style w:type="character" w:customStyle="1" w:styleId="CharChar">
    <w:name w:val="Char Char"/>
    <w:qFormat/>
    <w:rPr>
      <w:b/>
      <w:sz w:val="24"/>
      <w:lang w:val="hu-HU" w:eastAsia="hu-HU" w:bidi="ar-SA"/>
    </w:rPr>
  </w:style>
  <w:style w:type="character" w:customStyle="1" w:styleId="Szvegtrzs2Char">
    <w:name w:val="Szövegtörzs 2 Char"/>
    <w:basedOn w:val="Bekezdsalapbettpusa"/>
    <w:qFormat/>
    <w:rPr>
      <w:b/>
      <w:vanish/>
      <w:sz w:val="28"/>
      <w:szCs w:val="20"/>
    </w:rPr>
  </w:style>
  <w:style w:type="character" w:customStyle="1" w:styleId="SzvegtrzsbehzssalChar">
    <w:name w:val="Szövegtörzs behúzással Char"/>
    <w:basedOn w:val="Bekezdsalapbettpusa"/>
    <w:qFormat/>
    <w:rPr>
      <w:sz w:val="24"/>
      <w:szCs w:val="20"/>
    </w:rPr>
  </w:style>
  <w:style w:type="character" w:customStyle="1" w:styleId="Szvegtrzs3Char">
    <w:name w:val="Szövegtörzs 3 Char"/>
    <w:basedOn w:val="Bekezdsalapbettpusa"/>
    <w:qFormat/>
    <w:rPr>
      <w:sz w:val="24"/>
      <w:szCs w:val="20"/>
    </w:rPr>
  </w:style>
  <w:style w:type="character" w:styleId="Kiemels2">
    <w:name w:val="Strong"/>
    <w:qFormat/>
    <w:rPr>
      <w:b/>
      <w:bCs/>
    </w:rPr>
  </w:style>
  <w:style w:type="character" w:customStyle="1" w:styleId="ListLabel1">
    <w:name w:val="ListLabel 1"/>
    <w:qFormat/>
    <w:rPr>
      <w:rFonts w:cs="Tms Rmn"/>
    </w:rPr>
  </w:style>
  <w:style w:type="character" w:customStyle="1" w:styleId="ListLabel2">
    <w:name w:val="ListLabel 2"/>
    <w:qFormat/>
    <w:rPr>
      <w:rFonts w:cs="Times New Roman"/>
    </w:rPr>
  </w:style>
  <w:style w:type="character" w:customStyle="1" w:styleId="IndexLink">
    <w:name w:val="Index Link"/>
    <w:qFormat/>
  </w:style>
  <w:style w:type="character" w:customStyle="1" w:styleId="FootnoteCharacters">
    <w:name w:val="Footnote Characters"/>
    <w:qFormat/>
  </w:style>
  <w:style w:type="character" w:customStyle="1" w:styleId="FootnoteAnchor">
    <w:name w:val="Footnote Anchor"/>
    <w:rPr>
      <w:vertAlign w:val="superscript"/>
    </w:rPr>
  </w:style>
  <w:style w:type="character" w:customStyle="1" w:styleId="EndnoteAnchor">
    <w:name w:val="Endnote Anchor"/>
    <w:rPr>
      <w:vertAlign w:val="superscript"/>
    </w:rPr>
  </w:style>
  <w:style w:type="character" w:customStyle="1" w:styleId="EndnoteCharacters">
    <w:name w:val="Endnote Characters"/>
    <w:qFormat/>
  </w:style>
  <w:style w:type="character" w:customStyle="1" w:styleId="ListLabel3">
    <w:name w:val="ListLabel 3"/>
    <w:qFormat/>
    <w:rPr>
      <w:rFonts w:ascii="Times New Roman" w:hAnsi="Times New Roman" w:cs="Tms Rmn"/>
      <w:b/>
      <w:sz w:val="20"/>
    </w:rPr>
  </w:style>
  <w:style w:type="character" w:customStyle="1" w:styleId="ListLabel4">
    <w:name w:val="ListLabel 4"/>
    <w:qFormat/>
    <w:rPr>
      <w:rFonts w:cs="Times New Roman"/>
    </w:rPr>
  </w:style>
  <w:style w:type="paragraph" w:customStyle="1" w:styleId="Heading">
    <w:name w:val="Heading"/>
    <w:basedOn w:val="Norml"/>
    <w:next w:val="TextBody"/>
    <w:qFormat/>
    <w:pPr>
      <w:keepNext/>
      <w:spacing w:before="240" w:after="120"/>
    </w:pPr>
    <w:rPr>
      <w:rFonts w:ascii="Liberation Sans" w:eastAsia="Tahoma" w:hAnsi="Liberation Sans" w:cs="Lohit Devanagari"/>
      <w:sz w:val="28"/>
      <w:szCs w:val="28"/>
    </w:rPr>
  </w:style>
  <w:style w:type="paragraph" w:customStyle="1" w:styleId="TextBody">
    <w:name w:val="Text Body"/>
    <w:basedOn w:val="Norml"/>
    <w:pPr>
      <w:spacing w:after="120"/>
    </w:pPr>
  </w:style>
  <w:style w:type="paragraph" w:styleId="Lista">
    <w:name w:val="List"/>
    <w:basedOn w:val="Norml"/>
    <w:pPr>
      <w:ind w:left="283" w:hanging="283"/>
    </w:pPr>
    <w:rPr>
      <w:rFonts w:ascii="Times New Roman" w:hAnsi="Times New Roman" w:cs="Times New Roman"/>
      <w:szCs w:val="20"/>
    </w:rPr>
  </w:style>
  <w:style w:type="paragraph" w:styleId="Kpalrs">
    <w:name w:val="caption"/>
    <w:basedOn w:val="Norml"/>
    <w:qFormat/>
    <w:pPr>
      <w:suppressLineNumbers/>
      <w:spacing w:before="120" w:after="120"/>
    </w:pPr>
    <w:rPr>
      <w:rFonts w:cs="Lohit Devanagari"/>
      <w:i/>
      <w:iCs/>
    </w:rPr>
  </w:style>
  <w:style w:type="paragraph" w:customStyle="1" w:styleId="Index">
    <w:name w:val="Index"/>
    <w:basedOn w:val="Norml"/>
    <w:qFormat/>
    <w:pPr>
      <w:suppressLineNumbers/>
    </w:pPr>
    <w:rPr>
      <w:rFonts w:cs="Lohit Devanagari"/>
    </w:rPr>
  </w:style>
  <w:style w:type="paragraph" w:styleId="lfej">
    <w:name w:val="header"/>
    <w:basedOn w:val="Norml"/>
    <w:uiPriority w:val="99"/>
    <w:pPr>
      <w:tabs>
        <w:tab w:val="center" w:pos="4536"/>
        <w:tab w:val="right" w:pos="9072"/>
      </w:tabs>
    </w:pPr>
  </w:style>
  <w:style w:type="paragraph" w:styleId="llb">
    <w:name w:val="footer"/>
    <w:basedOn w:val="Norml"/>
    <w:pPr>
      <w:tabs>
        <w:tab w:val="center" w:pos="4536"/>
        <w:tab w:val="right" w:pos="9072"/>
      </w:tabs>
    </w:pPr>
  </w:style>
  <w:style w:type="paragraph" w:customStyle="1" w:styleId="fejezetcm">
    <w:name w:val="fejezetcím"/>
    <w:basedOn w:val="Norml"/>
    <w:qFormat/>
    <w:pPr>
      <w:spacing w:before="120" w:after="120"/>
      <w:jc w:val="center"/>
    </w:pPr>
    <w:rPr>
      <w:rFonts w:ascii="Times New Roman" w:hAnsi="Times New Roman" w:cs="Times New Roman"/>
      <w:b/>
      <w:smallCaps/>
    </w:rPr>
  </w:style>
  <w:style w:type="paragraph" w:customStyle="1" w:styleId="Bekezds">
    <w:name w:val="Bekezdés"/>
    <w:basedOn w:val="Norml"/>
    <w:qFormat/>
    <w:pPr>
      <w:tabs>
        <w:tab w:val="left" w:pos="567"/>
        <w:tab w:val="left" w:pos="926"/>
      </w:tabs>
      <w:jc w:val="both"/>
    </w:pPr>
    <w:rPr>
      <w:rFonts w:ascii="Times New Roman" w:hAnsi="Times New Roman" w:cs="Times New Roman"/>
    </w:rPr>
  </w:style>
  <w:style w:type="paragraph" w:styleId="Szvegtrzsbehzssal2">
    <w:name w:val="Body Text Indent 2"/>
    <w:basedOn w:val="Norml"/>
    <w:qFormat/>
    <w:pPr>
      <w:ind w:left="720"/>
      <w:jc w:val="both"/>
    </w:pPr>
    <w:rPr>
      <w:rFonts w:ascii="Times New Roman" w:hAnsi="Times New Roman" w:cs="Times New Roman"/>
    </w:rPr>
  </w:style>
  <w:style w:type="paragraph" w:customStyle="1" w:styleId="Fejezet">
    <w:name w:val="Fejezet"/>
    <w:basedOn w:val="Norml"/>
    <w:qFormat/>
    <w:pPr>
      <w:tabs>
        <w:tab w:val="left" w:pos="1080"/>
      </w:tabs>
      <w:spacing w:before="960"/>
      <w:jc w:val="center"/>
    </w:pPr>
    <w:rPr>
      <w:rFonts w:ascii="Times New Roman" w:hAnsi="Times New Roman" w:cs="Times New Roman"/>
      <w:b/>
      <w:bCs/>
      <w:caps/>
    </w:rPr>
  </w:style>
  <w:style w:type="paragraph" w:customStyle="1" w:styleId="Pont3">
    <w:name w:val="Pont3"/>
    <w:basedOn w:val="Norml"/>
    <w:qFormat/>
    <w:pPr>
      <w:tabs>
        <w:tab w:val="left" w:pos="1276"/>
      </w:tabs>
      <w:jc w:val="both"/>
    </w:pPr>
    <w:rPr>
      <w:rFonts w:ascii="Times New Roman" w:hAnsi="Times New Roman" w:cs="Times New Roman"/>
    </w:rPr>
  </w:style>
  <w:style w:type="paragraph" w:styleId="Cm">
    <w:name w:val="Title"/>
    <w:basedOn w:val="Norml"/>
    <w:qFormat/>
    <w:pPr>
      <w:jc w:val="center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Bekezds1">
    <w:name w:val="Bekezdés 1"/>
    <w:basedOn w:val="Norml"/>
    <w:qFormat/>
    <w:pPr>
      <w:spacing w:line="260" w:lineRule="atLeast"/>
      <w:ind w:left="567" w:hanging="283"/>
      <w:jc w:val="both"/>
    </w:pPr>
    <w:rPr>
      <w:rFonts w:ascii="Arial" w:hAnsi="Arial" w:cs="Arial"/>
    </w:rPr>
  </w:style>
  <w:style w:type="paragraph" w:styleId="Lbjegyzetszveg">
    <w:name w:val="footnote text"/>
    <w:basedOn w:val="Norml"/>
    <w:qFormat/>
    <w:rPr>
      <w:sz w:val="20"/>
      <w:szCs w:val="20"/>
    </w:rPr>
  </w:style>
  <w:style w:type="paragraph" w:styleId="Jegyzetszveg">
    <w:name w:val="annotation text"/>
    <w:basedOn w:val="Norml"/>
    <w:qFormat/>
    <w:rPr>
      <w:sz w:val="20"/>
      <w:szCs w:val="20"/>
    </w:rPr>
  </w:style>
  <w:style w:type="paragraph" w:styleId="Megjegyzstrgya">
    <w:name w:val="annotation subject"/>
    <w:basedOn w:val="Jegyzetszveg"/>
    <w:qFormat/>
    <w:rPr>
      <w:b/>
      <w:bCs/>
    </w:rPr>
  </w:style>
  <w:style w:type="paragraph" w:styleId="Buborkszveg">
    <w:name w:val="Balloon Text"/>
    <w:basedOn w:val="Norml"/>
    <w:qFormat/>
    <w:rPr>
      <w:rFonts w:ascii="Tahoma" w:hAnsi="Tahoma" w:cs="Tahoma"/>
      <w:sz w:val="16"/>
      <w:szCs w:val="16"/>
    </w:rPr>
  </w:style>
  <w:style w:type="paragraph" w:styleId="Szvegtrzsbehzssal3">
    <w:name w:val="Body Text Indent 3"/>
    <w:basedOn w:val="Norml"/>
    <w:qFormat/>
    <w:pPr>
      <w:spacing w:after="120"/>
      <w:ind w:left="283"/>
    </w:pPr>
    <w:rPr>
      <w:sz w:val="16"/>
      <w:szCs w:val="16"/>
    </w:rPr>
  </w:style>
  <w:style w:type="paragraph" w:styleId="NormlWeb">
    <w:name w:val="Normal (Web)"/>
    <w:basedOn w:val="Norml"/>
    <w:qFormat/>
    <w:pPr>
      <w:spacing w:before="280" w:after="280"/>
    </w:pPr>
    <w:rPr>
      <w:rFonts w:ascii="Times New Roman" w:hAnsi="Times New Roman" w:cs="Times New Roman"/>
    </w:rPr>
  </w:style>
  <w:style w:type="paragraph" w:styleId="Vltozat">
    <w:name w:val="Revision"/>
    <w:qFormat/>
    <w:pPr>
      <w:suppressAutoHyphens/>
    </w:pPr>
    <w:rPr>
      <w:rFonts w:ascii="Garamond" w:hAnsi="Garamond" w:cs="Garamond"/>
      <w:color w:val="00000A"/>
      <w:sz w:val="24"/>
      <w:szCs w:val="24"/>
    </w:rPr>
  </w:style>
  <w:style w:type="paragraph" w:customStyle="1" w:styleId="alcm">
    <w:name w:val="alcím"/>
    <w:basedOn w:val="Norml"/>
    <w:qFormat/>
    <w:pPr>
      <w:spacing w:before="120" w:after="120"/>
      <w:jc w:val="center"/>
    </w:pPr>
    <w:rPr>
      <w:rFonts w:ascii="Times New Roman" w:hAnsi="Times New Roman" w:cs="Times New Roman"/>
      <w:i/>
      <w:iCs/>
      <w:szCs w:val="20"/>
    </w:rPr>
  </w:style>
  <w:style w:type="paragraph" w:customStyle="1" w:styleId="jogszably">
    <w:name w:val="jogszabály"/>
    <w:basedOn w:val="Norml"/>
    <w:qFormat/>
    <w:pPr>
      <w:ind w:firstLine="204"/>
      <w:jc w:val="both"/>
    </w:pPr>
    <w:rPr>
      <w:rFonts w:ascii="Times New Roman" w:hAnsi="Times New Roman" w:cs="Times New Roman"/>
      <w:b/>
      <w:bCs/>
      <w:iCs/>
      <w:sz w:val="20"/>
      <w:szCs w:val="20"/>
    </w:rPr>
  </w:style>
  <w:style w:type="paragraph" w:customStyle="1" w:styleId="mellkletcm">
    <w:name w:val="melléklet cím"/>
    <w:basedOn w:val="Norml"/>
    <w:qFormat/>
    <w:pPr>
      <w:jc w:val="center"/>
    </w:pPr>
    <w:rPr>
      <w:rFonts w:ascii="Times New Roman" w:hAnsi="Times New Roman" w:cs="Times New Roman"/>
      <w:b/>
      <w:bCs/>
      <w:szCs w:val="20"/>
    </w:rPr>
  </w:style>
  <w:style w:type="paragraph" w:customStyle="1" w:styleId="Contents2">
    <w:name w:val="Contents 2"/>
    <w:basedOn w:val="Norml"/>
    <w:autoRedefine/>
    <w:pPr>
      <w:spacing w:after="60"/>
      <w:ind w:left="238"/>
    </w:pPr>
    <w:rPr>
      <w:rFonts w:ascii="Times New Roman" w:hAnsi="Times New Roman"/>
      <w:sz w:val="22"/>
    </w:rPr>
  </w:style>
  <w:style w:type="paragraph" w:customStyle="1" w:styleId="Contents1">
    <w:name w:val="Contents 1"/>
    <w:basedOn w:val="Norml"/>
    <w:autoRedefine/>
    <w:pPr>
      <w:spacing w:after="60"/>
    </w:pPr>
    <w:rPr>
      <w:rFonts w:ascii="Times New Roman" w:hAnsi="Times New Roman"/>
      <w:smallCaps/>
      <w:sz w:val="22"/>
    </w:rPr>
  </w:style>
  <w:style w:type="paragraph" w:customStyle="1" w:styleId="Stlus1">
    <w:name w:val="Stílus1"/>
    <w:basedOn w:val="Norml"/>
    <w:autoRedefine/>
    <w:qFormat/>
    <w:pPr>
      <w:keepNext/>
      <w:ind w:left="426"/>
      <w:jc w:val="both"/>
      <w:outlineLvl w:val="0"/>
    </w:pPr>
    <w:rPr>
      <w:rFonts w:ascii="Times New Roman" w:hAnsi="Times New Roman" w:cs="Arial"/>
      <w:bCs/>
      <w:szCs w:val="20"/>
    </w:rPr>
  </w:style>
  <w:style w:type="paragraph" w:customStyle="1" w:styleId="paragrafuscm">
    <w:name w:val="paragrafuscím"/>
    <w:basedOn w:val="Norml"/>
    <w:qFormat/>
    <w:pPr>
      <w:spacing w:before="120" w:after="120"/>
      <w:ind w:left="426"/>
      <w:jc w:val="center"/>
    </w:pPr>
    <w:rPr>
      <w:rFonts w:ascii="Times New Roman" w:hAnsi="Times New Roman" w:cs="Times New Roman"/>
      <w:b/>
      <w:smallCaps/>
      <w:szCs w:val="20"/>
    </w:rPr>
  </w:style>
  <w:style w:type="paragraph" w:customStyle="1" w:styleId="rszcm">
    <w:name w:val="részcím"/>
    <w:basedOn w:val="Norml"/>
    <w:qFormat/>
    <w:pPr>
      <w:spacing w:before="240" w:after="120"/>
      <w:ind w:left="426"/>
      <w:jc w:val="center"/>
    </w:pPr>
    <w:rPr>
      <w:rFonts w:ascii="Times New Roman" w:hAnsi="Times New Roman" w:cs="Times New Roman"/>
      <w:b/>
      <w:caps/>
      <w:sz w:val="28"/>
      <w:szCs w:val="20"/>
    </w:rPr>
  </w:style>
  <w:style w:type="paragraph" w:styleId="Szvegtrzs2">
    <w:name w:val="Body Text 2"/>
    <w:basedOn w:val="Norml"/>
    <w:qFormat/>
    <w:rPr>
      <w:rFonts w:ascii="Times New Roman" w:hAnsi="Times New Roman" w:cs="Times New Roman"/>
      <w:b/>
      <w:vanish/>
      <w:sz w:val="28"/>
      <w:szCs w:val="20"/>
    </w:rPr>
  </w:style>
  <w:style w:type="paragraph" w:customStyle="1" w:styleId="TextBodyIndent">
    <w:name w:val="Text Body Indent"/>
    <w:basedOn w:val="Norml"/>
    <w:pPr>
      <w:ind w:left="993"/>
    </w:pPr>
    <w:rPr>
      <w:rFonts w:ascii="Times New Roman" w:hAnsi="Times New Roman" w:cs="Times New Roman"/>
      <w:szCs w:val="20"/>
    </w:rPr>
  </w:style>
  <w:style w:type="paragraph" w:styleId="Szvegtrzs3">
    <w:name w:val="Body Text 3"/>
    <w:basedOn w:val="Norml"/>
    <w:qFormat/>
    <w:pPr>
      <w:jc w:val="both"/>
    </w:pPr>
    <w:rPr>
      <w:rFonts w:ascii="Times New Roman" w:hAnsi="Times New Roman" w:cs="Times New Roman"/>
      <w:szCs w:val="20"/>
    </w:rPr>
  </w:style>
  <w:style w:type="paragraph" w:customStyle="1" w:styleId="N">
    <w:name w:val="N"/>
    <w:basedOn w:val="Cmsor2"/>
    <w:qFormat/>
    <w:rPr>
      <w:szCs w:val="20"/>
    </w:rPr>
  </w:style>
  <w:style w:type="paragraph" w:customStyle="1" w:styleId="Contents3">
    <w:name w:val="Contents 3"/>
    <w:basedOn w:val="Norml"/>
    <w:autoRedefine/>
    <w:pPr>
      <w:ind w:left="480"/>
    </w:pPr>
    <w:rPr>
      <w:rFonts w:ascii="Times New Roman" w:hAnsi="Times New Roman" w:cs="Times New Roman"/>
    </w:rPr>
  </w:style>
  <w:style w:type="paragraph" w:customStyle="1" w:styleId="Contents4">
    <w:name w:val="Contents 4"/>
    <w:basedOn w:val="Norml"/>
    <w:autoRedefine/>
    <w:pPr>
      <w:ind w:left="720"/>
    </w:pPr>
    <w:rPr>
      <w:rFonts w:ascii="Times New Roman" w:hAnsi="Times New Roman" w:cs="Times New Roman"/>
    </w:rPr>
  </w:style>
  <w:style w:type="paragraph" w:customStyle="1" w:styleId="Contents5">
    <w:name w:val="Contents 5"/>
    <w:basedOn w:val="Norml"/>
    <w:autoRedefine/>
    <w:pPr>
      <w:ind w:left="960"/>
    </w:pPr>
    <w:rPr>
      <w:rFonts w:ascii="Times New Roman" w:hAnsi="Times New Roman" w:cs="Times New Roman"/>
    </w:rPr>
  </w:style>
  <w:style w:type="paragraph" w:customStyle="1" w:styleId="Contents6">
    <w:name w:val="Contents 6"/>
    <w:basedOn w:val="Norml"/>
    <w:autoRedefine/>
    <w:pPr>
      <w:ind w:left="1200"/>
    </w:pPr>
    <w:rPr>
      <w:rFonts w:ascii="Times New Roman" w:hAnsi="Times New Roman" w:cs="Times New Roman"/>
    </w:rPr>
  </w:style>
  <w:style w:type="paragraph" w:customStyle="1" w:styleId="Contents7">
    <w:name w:val="Contents 7"/>
    <w:basedOn w:val="Norml"/>
    <w:autoRedefine/>
    <w:pPr>
      <w:ind w:left="1440"/>
    </w:pPr>
    <w:rPr>
      <w:rFonts w:ascii="Times New Roman" w:hAnsi="Times New Roman" w:cs="Times New Roman"/>
    </w:rPr>
  </w:style>
  <w:style w:type="paragraph" w:customStyle="1" w:styleId="Contents8">
    <w:name w:val="Contents 8"/>
    <w:basedOn w:val="Norml"/>
    <w:autoRedefine/>
    <w:pPr>
      <w:ind w:left="1680"/>
    </w:pPr>
    <w:rPr>
      <w:rFonts w:ascii="Times New Roman" w:hAnsi="Times New Roman" w:cs="Times New Roman"/>
    </w:rPr>
  </w:style>
  <w:style w:type="paragraph" w:customStyle="1" w:styleId="Contents9">
    <w:name w:val="Contents 9"/>
    <w:basedOn w:val="Norml"/>
    <w:autoRedefine/>
    <w:pPr>
      <w:ind w:left="1920"/>
    </w:pPr>
    <w:rPr>
      <w:rFonts w:ascii="Times New Roman" w:hAnsi="Times New Roman" w:cs="Times New Roman"/>
    </w:rPr>
  </w:style>
  <w:style w:type="paragraph" w:customStyle="1" w:styleId="uj">
    <w:name w:val="uj"/>
    <w:basedOn w:val="Norml"/>
    <w:qFormat/>
    <w:pPr>
      <w:spacing w:before="280" w:after="280"/>
    </w:pPr>
    <w:rPr>
      <w:rFonts w:ascii="Times New Roman" w:hAnsi="Times New Roman" w:cs="Times New Roman"/>
    </w:rPr>
  </w:style>
  <w:style w:type="paragraph" w:customStyle="1" w:styleId="Footnote">
    <w:name w:val="Footnote"/>
    <w:basedOn w:val="Norml"/>
  </w:style>
  <w:style w:type="paragraph" w:customStyle="1" w:styleId="FrameContents">
    <w:name w:val="Frame Contents"/>
    <w:basedOn w:val="Norml"/>
    <w:qFormat/>
  </w:style>
  <w:style w:type="paragraph" w:customStyle="1" w:styleId="Quotations">
    <w:name w:val="Quotations"/>
    <w:basedOn w:val="Norml"/>
    <w:qFormat/>
  </w:style>
  <w:style w:type="paragraph" w:styleId="Alcm0">
    <w:name w:val="Subtitle"/>
    <w:basedOn w:val="Heading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223</Words>
  <Characters>1546</Characters>
  <Application>Microsoft Office Word</Application>
  <DocSecurity>0</DocSecurity>
  <Lines>12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Az Eötvös Loránd Tudományegyetem vagyongazdálkodási  szabályzata</vt:lpstr>
    </vt:vector>
  </TitlesOfParts>
  <Company>Hewlett-Packard Company</Company>
  <LinksUpToDate>false</LinksUpToDate>
  <CharactersWithSpaces>1766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Az Eötvös Loránd Tudományegyetem vagyongazdálkodási  szabályzata</dc:title>
  <dc:creator>Klára</dc:creator>
  <cp:lastModifiedBy>Klára</cp:lastModifiedBy>
  <cp:revision>4</cp:revision>
  <cp:lastPrinted>2016-06-21T13:25:00Z</cp:lastPrinted>
  <dcterms:created xsi:type="dcterms:W3CDTF">2016-06-21T13:24:00Z</dcterms:created>
  <dcterms:modified xsi:type="dcterms:W3CDTF">2016-06-21T13:25:00Z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